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abs-global-strategy-brief"/>
    <w:p>
      <w:pPr>
        <w:pStyle w:val="Heading1"/>
      </w:pPr>
      <w:r>
        <w:t>Tabs Global — Strategy Brief</w:t>
      </w:r>
    </w:p>
    <w:p>
      <w:pPr>
        <w:pStyle w:val="FirstParagraph"/>
      </w:pPr>
      <w:r>
        <w:t>PORTFOLIO-SAFE REDACTED COPY · Prepared for CEO review</w:t>
      </w:r>
    </w:p>
    <w:p>
      <w:r>
        <w:rPr>
          <w:b/>
          <w:color w:val="FFFFFF"/>
          <w:sz w:val="18"/>
          <w:shd w:val="clear" w:fill="1F1F1F"/>
        </w:rPr>
        <w:t>VISUAL REDACTED — COMMERCIAL FORECAST</w:t>
      </w:r>
    </w:p>
    <w:bookmarkStart w:id="20" w:name="if-you-read-nothing-else"/>
    <w:p>
      <w:pPr>
        <w:pStyle w:val="Heading2"/>
      </w:pPr>
      <w:r>
        <w:t>If you read nothing else</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r>
        <w:rPr>
          <w:b/>
          <w:color w:val="FFFFFF"/>
          <w:sz w:val="18"/>
          <w:shd w:val="clear" w:fill="1F1F1F"/>
        </w:rPr>
        <w:t>VISUAL REDACTED — COMMERCIAL FORECAST</w:t>
      </w:r>
    </w:p>
    <w:bookmarkEnd w:id="20"/>
    <w:bookmarkEnd w:id="21"/>
    <w:bookmarkStart w:id="28" w:name="X3f41024af61b84aebdace37219f5d798e790217"/>
    <w:p>
      <w:pPr>
        <w:pStyle w:val="Heading1"/>
      </w:pPr>
      <w:r>
        <w:t>1. GTM Plan — Road to 200 Businesses Signed and Transacting</w:t>
      </w:r>
    </w:p>
    <w:bookmarkStart w:id="22" w:name="define-the-metric-before-we-chase-it"/>
    <w:p>
      <w:pPr>
        <w:pStyle w:val="Heading2"/>
      </w:pPr>
      <w:r>
        <w:t>1.1 Define the metric before we chase it</w:t>
      </w:r>
    </w:p>
    <w:p>
      <w:pPr>
        <w:pStyle w:val="FirstParagraph"/>
      </w:pPr>
      <w:r>
        <w:rPr>
          <w:b/>
          <w:color w:val="FFFFFF"/>
          <w:sz w:val="18"/>
          <w:shd w:val="clear" w:fill="1F1F1F"/>
        </w:rPr>
        <w:t>REDACTED — CONFIDENTIAL</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Stage</w:t>
            </w:r>
          </w:p>
        </w:tc>
        <w:tc>
          <w:tcPr/>
          <w:p>
            <w:pPr>
              <w:pStyle w:val="Compact"/>
              <w:jc w:val="left"/>
            </w:pPr>
            <w:r>
              <w:t xml:space="preserve">Definition</w:t>
            </w:r>
          </w:p>
        </w:tc>
        <w:tc>
          <w:tcPr/>
          <w:p>
            <w:pPr>
              <w:pStyle w:val="Compact"/>
              <w:jc w:val="left"/>
            </w:pPr>
            <w:r>
              <w:t xml:space="preserve">Proposed target</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p>
      <w:pPr>
        <w:pStyle w:val="BodyText"/>
      </w:pPr>
      <w:r>
        <w:rPr>
          <w:b/>
          <w:color w:val="FFFFFF"/>
          <w:sz w:val="18"/>
          <w:shd w:val="clear" w:fill="1F1F1F"/>
        </w:rPr>
        <w:t>REDACTED — CONFIDENTIAL</w:t>
      </w:r>
    </w:p>
    <w:bookmarkEnd w:id="22"/>
    <w:bookmarkStart w:id="23" w:name="X502bfdf5b51b09cc931529e497c8f5d8706ba45"/>
    <w:p>
      <w:pPr>
        <w:pStyle w:val="Heading2"/>
      </w:pPr>
      <w:r>
        <w:t>1.2 The volume/count reconciliation — this is the crux</w:t>
      </w:r>
    </w:p>
    <w:p>
      <w:pPr>
        <w:pStyle w:val="FirstParagraph"/>
      </w:pPr>
      <w:r>
        <w:rPr>
          <w:b/>
          <w:color w:val="FFFFFF"/>
          <w:sz w:val="18"/>
          <w:shd w:val="clear" w:fill="1F1F1F"/>
        </w:rPr>
        <w:t>REDACTED — CONFIDENTIAL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Corridor</w:t>
            </w:r>
          </w:p>
        </w:tc>
        <w:tc>
          <w:tcPr/>
          <w:p>
            <w:pPr>
              <w:pStyle w:val="Compact"/>
              <w:jc w:val="left"/>
            </w:pPr>
            <w:r>
              <w:t xml:space="preserve">Avg ticket</w:t>
            </w:r>
          </w:p>
        </w:tc>
        <w:tc>
          <w:tcPr/>
          <w:p>
            <w:pPr>
              <w:pStyle w:val="Compact"/>
              <w:jc w:val="left"/>
            </w:pPr>
            <w:r>
              <w:t xml:space="preserve">Y1 volume</w:t>
            </w:r>
          </w:p>
        </w:tc>
        <w:tc>
          <w:tcPr/>
          <w:p>
            <w:pPr>
              <w:pStyle w:val="Compact"/>
              <w:jc w:val="left"/>
            </w:pPr>
            <w:r>
              <w:t xml:space="preserve">Implied txns/yr</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numPr>
          <w:ilvl w:val="0"/>
          <w:numId w:val="1001"/>
        </w:numPr>
        <w:pStyle w:val="Compact"/>
      </w:pPr>
      <w:r>
        <w:rPr>
          <w:b/>
          <w:color w:val="FFFFFF"/>
          <w:sz w:val="18"/>
          <w:shd w:val="clear" w:fill="1F1F1F"/>
        </w:rPr>
        <w:t>REDACTED — CONFIDENTIAL</w:t>
      </w:r>
    </w:p>
    <w:p>
      <w:pPr>
        <w:numPr>
          <w:ilvl w:val="0"/>
          <w:numId w:val="1001"/>
        </w:numPr>
        <w:pStyle w:val="Compact"/>
      </w:pPr>
      <w:r>
        <w:rPr>
          <w:b/>
          <w:color w:val="FFFFFF"/>
          <w:sz w:val="18"/>
          <w:shd w:val="clear" w:fill="1F1F1F"/>
        </w:rPr>
        <w:t>REDACTED — CONFIDENTIAL</w:t>
      </w:r>
    </w:p>
    <w:p>
      <w:pPr>
        <w:pStyle w:val="FirstParagraph"/>
      </w:pPr>
      <w:r>
        <w:rPr>
          <w:b/>
          <w:color w:val="FFFFFF"/>
          <w:sz w:val="18"/>
          <w:shd w:val="clear" w:fill="1F1F1F"/>
        </w:rPr>
        <w:t>REDACTED — CONFIDENTIAL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Tier</w:t>
            </w:r>
          </w:p>
        </w:tc>
        <w:tc>
          <w:tcPr/>
          <w:p>
            <w:pPr>
              <w:pStyle w:val="Compact"/>
              <w:jc w:val="left"/>
            </w:pPr>
            <w:r>
              <w:t xml:space="preserve">Count</w:t>
            </w:r>
          </w:p>
        </w:tc>
        <w:tc>
          <w:tcPr/>
          <w:p>
            <w:pPr>
              <w:pStyle w:val="Compact"/>
              <w:jc w:val="left"/>
            </w:pPr>
            <w:r>
              <w:t xml:space="preserve">Avg monthly volume</w:t>
            </w:r>
          </w:p>
        </w:tc>
        <w:tc>
          <w:tcPr/>
          <w:p>
            <w:pPr>
              <w:pStyle w:val="Compact"/>
              <w:jc w:val="left"/>
            </w:pPr>
            <w:r>
              <w:t xml:space="preserve">Annual volume</w:t>
            </w:r>
          </w:p>
        </w:tc>
        <w:tc>
          <w:tcPr/>
          <w:p>
            <w:pPr>
              <w:pStyle w:val="Compact"/>
              <w:jc w:val="left"/>
            </w:pPr>
            <w:r>
              <w:t xml:space="preserve">Motion</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bookmarkEnd w:id="23"/>
    <w:bookmarkStart w:id="24" w:name="who-exactly-are-the-200"/>
    <w:p>
      <w:pPr>
        <w:pStyle w:val="Heading2"/>
      </w:pPr>
      <w:r>
        <w:t>1.3 Who exactly are the 200</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numPr>
          <w:ilvl w:val="0"/>
          <w:numId w:val="1002"/>
        </w:numPr>
        <w:pStyle w:val="Compact"/>
      </w:pPr>
      <w:r>
        <w:rPr>
          <w:b/>
          <w:color w:val="FFFFFF"/>
          <w:sz w:val="18"/>
          <w:shd w:val="clear" w:fill="1F1F1F"/>
        </w:rPr>
        <w:t>REDACTED — CONFIDENTIAL</w:t>
      </w:r>
    </w:p>
    <w:p>
      <w:pPr>
        <w:numPr>
          <w:ilvl w:val="0"/>
          <w:numId w:val="1002"/>
        </w:numPr>
        <w:pStyle w:val="Compact"/>
      </w:pPr>
      <w:r>
        <w:rPr>
          <w:b/>
          <w:color w:val="FFFFFF"/>
          <w:sz w:val="18"/>
          <w:shd w:val="clear" w:fill="1F1F1F"/>
        </w:rPr>
        <w:t>REDACTED — CONFIDENTIAL</w:t>
      </w:r>
    </w:p>
    <w:p>
      <w:pPr>
        <w:numPr>
          <w:ilvl w:val="0"/>
          <w:numId w:val="1002"/>
        </w:numPr>
        <w:pStyle w:val="Compact"/>
      </w:pPr>
      <w:r>
        <w:rPr>
          <w:b/>
          <w:color w:val="FFFFFF"/>
          <w:sz w:val="18"/>
          <w:shd w:val="clear" w:fill="1F1F1F"/>
        </w:rPr>
        <w:t>REDACTED — CONFIDENTIAL</w:t>
      </w:r>
    </w:p>
    <w:p>
      <w:pPr>
        <w:numPr>
          <w:ilvl w:val="0"/>
          <w:numId w:val="1002"/>
        </w:numPr>
        <w:pStyle w:val="Compact"/>
      </w:pPr>
      <w:r>
        <w:rPr>
          <w:b/>
          <w:color w:val="FFFFFF"/>
          <w:sz w:val="18"/>
          <w:shd w:val="clear" w:fill="1F1F1F"/>
        </w:rPr>
        <w:t>REDACTED — CONFIDENTIAL</w:t>
      </w:r>
    </w:p>
    <w:p>
      <w:pPr>
        <w:numPr>
          <w:ilvl w:val="0"/>
          <w:numId w:val="1002"/>
        </w:numPr>
        <w:pStyle w:val="Compact"/>
      </w:pPr>
      <w:r>
        <w:rPr>
          <w:b/>
          <w:color w:val="FFFFFF"/>
          <w:sz w:val="18"/>
          <w:shd w:val="clear" w:fill="1F1F1F"/>
        </w:rPr>
        <w:t>REDACTED — CONFIDENTIAL</w:t>
      </w:r>
    </w:p>
    <w:p>
      <w:pPr>
        <w:pStyle w:val="FirstParagraph"/>
      </w:pPr>
      <w:r>
        <w:rPr>
          <w:b/>
          <w:color w:val="FFFFFF"/>
          <w:sz w:val="18"/>
          <w:shd w:val="clear" w:fill="1F1F1F"/>
        </w:rPr>
        <w:t>REDACTED — CONFIDENTIAL</w:t>
      </w:r>
    </w:p>
    <w:bookmarkEnd w:id="24"/>
    <w:bookmarkStart w:id="25" w:name="X0f66d170964429bf48336eabf0ba6eb245543a0"/>
    <w:p>
      <w:pPr>
        <w:pStyle w:val="Heading2"/>
      </w:pPr>
      <w:r>
        <w:t>1.4 Channel strategy and acquisition leverage</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Why it works</w:t>
            </w:r>
          </w:p>
        </w:tc>
        <w:tc>
          <w:tcPr/>
          <w:p>
            <w:pPr>
              <w:pStyle w:val="Compact"/>
              <w:jc w:val="left"/>
            </w:pPr>
            <w:r>
              <w:t xml:space="preserve">Ask</w:t>
            </w:r>
          </w:p>
        </w:tc>
        <w:tc>
          <w:tcPr/>
          <w:p>
            <w:pPr>
              <w:pStyle w:val="Compact"/>
              <w:jc w:val="left"/>
            </w:pPr>
            <w:r>
              <w:t xml:space="preserve">Owner</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numPr>
          <w:ilvl w:val="0"/>
          <w:numId w:val="1003"/>
        </w:numPr>
        <w:pStyle w:val="Compact"/>
      </w:pPr>
      <w:r>
        <w:rPr>
          <w:b/>
          <w:color w:val="FFFFFF"/>
          <w:sz w:val="18"/>
          <w:shd w:val="clear" w:fill="1F1F1F"/>
        </w:rPr>
        <w:t>REDACTED — CONFIDENTIAL</w:t>
      </w:r>
    </w:p>
    <w:p>
      <w:pPr>
        <w:numPr>
          <w:ilvl w:val="0"/>
          <w:numId w:val="1003"/>
        </w:numPr>
        <w:pStyle w:val="Compact"/>
      </w:pPr>
      <w:r>
        <w:rPr>
          <w:b/>
          <w:color w:val="FFFFFF"/>
          <w:sz w:val="18"/>
          <w:shd w:val="clear" w:fill="1F1F1F"/>
        </w:rPr>
        <w:t>REDACTED — CONFIDENTIAL</w:t>
      </w:r>
    </w:p>
    <w:p>
      <w:pPr>
        <w:numPr>
          <w:ilvl w:val="0"/>
          <w:numId w:val="1003"/>
        </w:numPr>
        <w:pStyle w:val="Compact"/>
      </w:pPr>
      <w:r>
        <w:rPr>
          <w:b/>
          <w:color w:val="FFFFFF"/>
          <w:sz w:val="18"/>
          <w:shd w:val="clear" w:fill="1F1F1F"/>
        </w:rPr>
        <w:t>REDACTED — CONFIDENTIAL</w:t>
      </w:r>
    </w:p>
    <w:p>
      <w:pPr>
        <w:pStyle w:val="FirstParagraph"/>
      </w:pPr>
      <w:r>
        <w:rPr>
          <w:b/>
          <w:color w:val="FFFFFF"/>
          <w:sz w:val="18"/>
          <w:shd w:val="clear" w:fill="1F1F1F"/>
        </w:rPr>
        <w:t>REDACTED — CONFIDENTIAL</w:t>
      </w:r>
    </w:p>
    <w:bookmarkEnd w:id="25"/>
    <w:bookmarkStart w:id="26" w:name="the-funnel-worked-backwards"/>
    <w:p>
      <w:pPr>
        <w:pStyle w:val="Heading2"/>
      </w:pPr>
      <w:r>
        <w:t>1.5 The funnel, worked backwards</w:t>
      </w:r>
    </w:p>
    <w:p>
      <w:pPr>
        <w:pStyle w:val="FirstParagraph"/>
      </w:pPr>
      <w:r>
        <w:rPr>
          <w:b/>
          <w:color w:val="FFFFFF"/>
          <w:sz w:val="18"/>
          <w:shd w:val="clear" w:fill="1F1F1F"/>
        </w:rPr>
        <w:t>REDACTED — CONFIDENTIAL</w:t>
      </w:r>
    </w:p>
    <w:p>
      <w:pPr>
        <w:numPr>
          <w:ilvl w:val="0"/>
          <w:numId w:val="1004"/>
        </w:numPr>
        <w:pStyle w:val="Compact"/>
      </w:pPr>
      <w:r>
        <w:rPr>
          <w:b/>
          <w:color w:val="FFFFFF"/>
          <w:sz w:val="18"/>
          <w:shd w:val="clear" w:fill="1F1F1F"/>
        </w:rPr>
        <w:t>REDACTED — CONFIDENTIAL</w:t>
      </w:r>
    </w:p>
    <w:p>
      <w:pPr>
        <w:numPr>
          <w:ilvl w:val="0"/>
          <w:numId w:val="1004"/>
        </w:numPr>
        <w:pStyle w:val="Compact"/>
      </w:pPr>
      <w:r>
        <w:rPr>
          <w:b/>
          <w:color w:val="FFFFFF"/>
          <w:sz w:val="18"/>
          <w:shd w:val="clear" w:fill="1F1F1F"/>
        </w:rPr>
        <w:t>REDACTED — CONFIDENTIAL</w:t>
      </w:r>
    </w:p>
    <w:p>
      <w:pPr>
        <w:numPr>
          <w:ilvl w:val="0"/>
          <w:numId w:val="1004"/>
        </w:numPr>
        <w:pStyle w:val="Compact"/>
      </w:pPr>
      <w:r>
        <w:rPr>
          <w:b/>
          <w:color w:val="FFFFFF"/>
          <w:sz w:val="18"/>
          <w:shd w:val="clear" w:fill="1F1F1F"/>
        </w:rPr>
        <w:t>REDACTED — CONFIDENTIAL</w:t>
      </w:r>
    </w:p>
    <w:p>
      <w:pPr>
        <w:numPr>
          <w:ilvl w:val="0"/>
          <w:numId w:val="1004"/>
        </w:numPr>
        <w:pStyle w:val="Compact"/>
      </w:pPr>
      <w:r>
        <w:rPr>
          <w:b/>
          <w:color w:val="FFFFFF"/>
          <w:sz w:val="18"/>
          <w:shd w:val="clear" w:fill="1F1F1F"/>
        </w:rPr>
        <w:t>REDACTED — CONFIDENTIAL</w:t>
      </w:r>
    </w:p>
    <w:p>
      <w:pPr>
        <w:pStyle w:val="FirstParagraph"/>
      </w:pPr>
      <w:r>
        <w:rPr>
          <w:b/>
          <w:color w:val="FFFFFF"/>
          <w:sz w:val="18"/>
          <w:shd w:val="clear" w:fill="1F1F1F"/>
        </w:rPr>
        <w:t>REDACTED — CONFIDENTIAL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Stage</w:t>
            </w:r>
          </w:p>
        </w:tc>
        <w:tc>
          <w:tcPr/>
          <w:p>
            <w:pPr>
              <w:pStyle w:val="Compact"/>
              <w:jc w:val="left"/>
            </w:pPr>
            <w:r>
              <w:t xml:space="preserve">Required</w:t>
            </w:r>
          </w:p>
        </w:tc>
        <w:tc>
          <w:tcPr/>
          <w:p>
            <w:pPr>
              <w:pStyle w:val="Compact"/>
              <w:jc w:val="left"/>
            </w:pPr>
            <w:r>
              <w:t xml:space="preserve">Per month (9 mo)</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numPr>
          <w:ilvl w:val="0"/>
          <w:numId w:val="1005"/>
        </w:numPr>
        <w:pStyle w:val="Compact"/>
      </w:pPr>
      <w:r>
        <w:rPr>
          <w:b/>
          <w:color w:val="FFFFFF"/>
          <w:sz w:val="18"/>
          <w:shd w:val="clear" w:fill="1F1F1F"/>
        </w:rPr>
        <w:t>REDACTED — CONFIDENTIAL</w:t>
      </w:r>
    </w:p>
    <w:p>
      <w:pPr>
        <w:numPr>
          <w:ilvl w:val="0"/>
          <w:numId w:val="1005"/>
        </w:numPr>
        <w:pStyle w:val="Compact"/>
      </w:pPr>
      <w:r>
        <w:rPr>
          <w:b/>
          <w:color w:val="FFFFFF"/>
          <w:sz w:val="18"/>
          <w:shd w:val="clear" w:fill="1F1F1F"/>
        </w:rPr>
        <w:t>REDACTED — CONFIDENTIAL</w:t>
      </w:r>
    </w:p>
    <w:p>
      <w:pPr>
        <w:numPr>
          <w:ilvl w:val="0"/>
          <w:numId w:val="1005"/>
        </w:numPr>
        <w:pStyle w:val="Compact"/>
      </w:pPr>
      <w:r>
        <w:rPr>
          <w:b/>
          <w:color w:val="FFFFFF"/>
          <w:sz w:val="18"/>
          <w:shd w:val="clear" w:fill="1F1F1F"/>
        </w:rPr>
        <w:t>REDACTED — CONFIDENTIAL</w:t>
      </w:r>
    </w:p>
    <w:bookmarkEnd w:id="26"/>
    <w:bookmarkStart w:id="27" w:name="Xcab6f385c4be360802f55881600e59cb02c3187"/>
    <w:p>
      <w:pPr>
        <w:pStyle w:val="Heading2"/>
      </w:pPr>
      <w:r>
        <w:t>1.6 The four things that will actually stop this</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r>
        <w:rPr>
          <w:b/>
          <w:color w:val="FFFFFF"/>
          <w:sz w:val="18"/>
          <w:shd w:val="clear" w:fill="1F1F1F"/>
        </w:rPr>
        <w:t>VISUAL REDACTED — COMMERCIAL FORECAST</w:t>
      </w:r>
    </w:p>
    <w:bookmarkEnd w:id="27"/>
    <w:bookmarkEnd w:id="28"/>
    <w:bookmarkStart w:id="36" w:name="partner-stack"/>
    <w:p>
      <w:pPr>
        <w:pStyle w:val="Heading1"/>
      </w:pPr>
      <w:r>
        <w:t>2. Partner Stack</w:t>
      </w:r>
    </w:p>
    <w:bookmarkStart w:id="29" w:name="what-we-are-actually-buying"/>
    <w:p>
      <w:pPr>
        <w:pStyle w:val="Heading2"/>
      </w:pPr>
      <w:r>
        <w:t>2.1 What we are actually buying</w:t>
      </w:r>
    </w:p>
    <w:p>
      <w:pPr>
        <w:pStyle w:val="FirstParagraph"/>
      </w:pPr>
      <w:r>
        <w:rPr>
          <w:b/>
          <w:color w:val="FFFFFF"/>
          <w:sz w:val="18"/>
          <w:shd w:val="clear" w:fill="1F1F1F"/>
        </w:rPr>
        <w:t>REDACTED — CONFIDENTIAL</w:t>
      </w:r>
    </w:p>
    <w:p>
      <w:pPr>
        <w:numPr>
          <w:ilvl w:val="0"/>
          <w:numId w:val="1006"/>
        </w:numPr>
        <w:pStyle w:val="Compact"/>
      </w:pPr>
      <w:r>
        <w:rPr>
          <w:b/>
          <w:color w:val="FFFFFF"/>
          <w:sz w:val="18"/>
          <w:shd w:val="clear" w:fill="1F1F1F"/>
        </w:rPr>
        <w:t>REDACTED — CONFIDENTIAL</w:t>
      </w:r>
    </w:p>
    <w:p>
      <w:pPr>
        <w:numPr>
          <w:ilvl w:val="0"/>
          <w:numId w:val="1006"/>
        </w:numPr>
        <w:pStyle w:val="Compact"/>
      </w:pPr>
      <w:r>
        <w:rPr>
          <w:b/>
          <w:color w:val="FFFFFF"/>
          <w:sz w:val="18"/>
          <w:shd w:val="clear" w:fill="1F1F1F"/>
        </w:rPr>
        <w:t>REDACTED — CONFIDENTIAL</w:t>
      </w:r>
    </w:p>
    <w:p>
      <w:pPr>
        <w:numPr>
          <w:ilvl w:val="0"/>
          <w:numId w:val="1006"/>
        </w:numPr>
        <w:pStyle w:val="Compact"/>
      </w:pPr>
      <w:r>
        <w:rPr>
          <w:b/>
          <w:color w:val="FFFFFF"/>
          <w:sz w:val="18"/>
          <w:shd w:val="clear" w:fill="1F1F1F"/>
        </w:rPr>
        <w:t>REDACTED — CONFIDENTIAL</w:t>
      </w:r>
    </w:p>
    <w:p>
      <w:pPr>
        <w:numPr>
          <w:ilvl w:val="0"/>
          <w:numId w:val="1006"/>
        </w:numPr>
        <w:pStyle w:val="Compact"/>
      </w:pPr>
      <w:r>
        <w:rPr>
          <w:b/>
          <w:color w:val="FFFFFF"/>
          <w:sz w:val="18"/>
          <w:shd w:val="clear" w:fill="1F1F1F"/>
        </w:rPr>
        <w:t>REDACTED — CONFIDENTIAL</w:t>
      </w:r>
    </w:p>
    <w:bookmarkEnd w:id="29"/>
    <w:bookmarkStart w:id="30" w:name="longlist-scored"/>
    <w:p>
      <w:pPr>
        <w:pStyle w:val="Heading2"/>
      </w:pPr>
      <w:r>
        <w:t>2.2 Longlist, scored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Partner</w:t>
            </w:r>
          </w:p>
        </w:tc>
        <w:tc>
          <w:tcPr/>
          <w:p>
            <w:pPr>
              <w:pStyle w:val="Compact"/>
              <w:jc w:val="left"/>
            </w:pPr>
            <w:r>
              <w:t xml:space="preserve">Category</w:t>
            </w:r>
          </w:p>
        </w:tc>
        <w:tc>
          <w:tcPr/>
          <w:p>
            <w:pPr>
              <w:pStyle w:val="Compact"/>
              <w:jc w:val="left"/>
            </w:pPr>
            <w:r>
              <w:t xml:space="preserve">Fit for our use case</w:t>
            </w:r>
          </w:p>
        </w:tc>
        <w:tc>
          <w:tcPr/>
          <w:p>
            <w:pPr>
              <w:pStyle w:val="Compact"/>
              <w:jc w:val="left"/>
            </w:pPr>
            <w:r>
              <w:t xml:space="preserve">Notes</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bookmarkEnd w:id="30"/>
    <w:bookmarkStart w:id="34" w:name="the-three-to-pursue-and-in-this-order"/>
    <w:p>
      <w:pPr>
        <w:pStyle w:val="Heading2"/>
      </w:pPr>
      <w:r>
        <w:t>2.3 The three to pursue — and in this order</w:t>
      </w:r>
    </w:p>
    <w:bookmarkStart w:id="31" w:name="Xa232fb1dd5159cc8c7c1e3992224aed3b87dd12"/>
    <w:p>
      <w:pPr>
        <w:pStyle w:val="Heading3"/>
      </w:pPr>
      <w:r>
        <w:t>Partner / infrastructure analysis</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bookmarkEnd w:id="31"/>
    <w:bookmarkStart w:id="32" w:name="X3455c26b8d12a015d34e638cd987f7ce87234ff"/>
    <w:p>
      <w:pPr>
        <w:pStyle w:val="Heading3"/>
      </w:pPr>
      <w:r>
        <w:t>Partner / infrastructure analysis</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bookmarkEnd w:id="32"/>
    <w:bookmarkStart w:id="33" w:name="partner-3-xtransfer-china-corridor"/>
    <w:p>
      <w:pPr>
        <w:pStyle w:val="Heading3"/>
      </w:pPr>
      <w:r>
        <w:t>Partner / infrastructure analysis</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bookmarkEnd w:id="33"/>
    <w:bookmarkEnd w:id="34"/>
    <w:bookmarkStart w:id="35" w:name="sequencing"/>
    <w:p>
      <w:pPr>
        <w:pStyle w:val="Heading2"/>
      </w:pPr>
      <w:r>
        <w:t>2.4 Sequencing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Week</w:t>
            </w:r>
          </w:p>
        </w:tc>
        <w:tc>
          <w:tcPr/>
          <w:p>
            <w:pPr>
              <w:pStyle w:val="Compact"/>
              <w:jc w:val="left"/>
            </w:pPr>
            <w:r>
              <w:t xml:space="preserve">Action</w:t>
            </w:r>
          </w:p>
        </w:tc>
      </w:tr>
      <w:tr>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r>
    </w:tbl>
    <w:p>
      <w:r>
        <w:rPr>
          <w:b/>
          <w:color w:val="FFFFFF"/>
          <w:sz w:val="18"/>
          <w:shd w:val="clear" w:fill="1F1F1F"/>
        </w:rPr>
        <w:t>VISUAL REDACTED — COMMERCIAL FORECAST</w:t>
      </w:r>
    </w:p>
    <w:bookmarkEnd w:id="35"/>
    <w:bookmarkEnd w:id="36"/>
    <w:bookmarkStart w:id="43" w:name="competitive-analysis"/>
    <w:p>
      <w:pPr>
        <w:pStyle w:val="Heading1"/>
      </w:pPr>
      <w:r>
        <w:t>3. Competitive Analysis</w:t>
      </w:r>
    </w:p>
    <w:bookmarkStart w:id="39" w:name="Xe22cbd929e2322eec5e4831cfa170aa177df634"/>
    <w:p>
      <w:pPr>
        <w:pStyle w:val="Heading2"/>
      </w:pPr>
      <w:r>
        <w:t>Side A — Cross-border payments for Nigerian merchants (outbound)</w:t>
      </w:r>
    </w:p>
    <w:bookmarkStart w:id="37" w:name="the-landscape"/>
    <w:p>
      <w:pPr>
        <w:pStyle w:val="Heading3"/>
      </w:pPr>
      <w:r>
        <w:t>The landscape</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Competitor</w:t>
            </w:r>
          </w:p>
        </w:tc>
        <w:tc>
          <w:tcPr/>
          <w:p>
            <w:pPr>
              <w:pStyle w:val="Compact"/>
              <w:jc w:val="left"/>
            </w:pPr>
            <w:r>
              <w:t xml:space="preserve">Position</w:t>
            </w:r>
          </w:p>
        </w:tc>
        <w:tc>
          <w:tcPr/>
          <w:p>
            <w:pPr>
              <w:pStyle w:val="Compact"/>
              <w:jc w:val="left"/>
            </w:pPr>
            <w:r>
              <w:t xml:space="preserve">Scale</w:t>
            </w:r>
          </w:p>
        </w:tc>
        <w:tc>
          <w:tcPr/>
          <w:p>
            <w:r>
              <w:t>REDACTED</w:t>
            </w:r>
          </w:p>
        </w:tc>
        <w:tc>
          <w:tcPr/>
          <w:p>
            <w:pPr>
              <w:pStyle w:val="Compact"/>
              <w:jc w:val="left"/>
            </w:pPr>
            <w:r>
              <w:t xml:space="preserve">Threat to us</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bookmarkEnd w:id="37"/>
    <w:bookmarkStart w:id="38" w:name="honest-read"/>
    <w:p>
      <w:pPr>
        <w:pStyle w:val="Heading3"/>
      </w:pPr>
      <w:r>
        <w:t>Honest read</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t>Positioning statement I would test tomorrow: &gt; “For the Nigerian importer paying the same supplier every month: your payment lands the same day, at the rate you were quoted, in your own company’s name. No aggregator on the statement, no phone call from your supplier’s bank, no deductions you find out about afterwards.”</w:t>
      </w:r>
    </w:p>
    <w:bookmarkEnd w:id="38"/>
    <w:bookmarkEnd w:id="39"/>
    <w:bookmarkStart w:id="42" w:name="Xd602aafbe517bd2db56497a6ffd5c3877521baf"/>
    <w:p>
      <w:pPr>
        <w:pStyle w:val="Heading2"/>
      </w:pPr>
      <w:r>
        <w:t>Side B — Payment network infrastructure for global business (into Africa)</w:t>
      </w:r>
    </w:p>
    <w:bookmarkStart w:id="40" w:name="the-landscape-1"/>
    <w:p>
      <w:pPr>
        <w:pStyle w:val="Heading3"/>
      </w:pPr>
      <w:r>
        <w:t>The landscape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Position</w:t>
            </w:r>
          </w:p>
        </w:tc>
        <w:tc>
          <w:tcPr/>
          <w:p>
            <w:pPr>
              <w:pStyle w:val="Compact"/>
              <w:jc w:val="left"/>
            </w:pPr>
            <w:r>
              <w:t xml:space="preserve">Scale</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r>
        <w:tc>
          <w:tcPr>
            <w:shd w:fill="000000" w:val="clear"/>
          </w:tcPr>
          <w:p>
            <w:r/>
            <w:r>
              <w:rPr>
                <w:color w:val="FFFFFF"/>
                <w:sz w:val="14"/>
              </w:rPr>
              <w:t>REDACTED</w:t>
            </w:r>
          </w:p>
        </w:tc>
        <w:tc>
          <w:tcPr>
            <w:shd w:fill="000000" w:val="clear"/>
          </w:tcPr>
          <w:p>
            <w:r/>
            <w:r>
              <w:rPr>
                <w:color w:val="FFFFFF"/>
                <w:sz w:val="14"/>
              </w:rPr>
              <w:t>REDACTED</w:t>
            </w:r>
          </w:p>
        </w:tc>
        <w:tc>
          <w:tcPr>
            <w:shd w:fill="000000" w:val="clear"/>
          </w:tcPr>
          <w:p>
            <w:r/>
            <w:r>
              <w:rPr>
                <w:color w:val="FFFFFF"/>
                <w:sz w:val="14"/>
              </w:rPr>
              <w:t>REDACTED</w:t>
            </w:r>
          </w:p>
        </w:tc>
      </w:tr>
    </w:tbl>
    <w:bookmarkEnd w:id="40"/>
    <w:bookmarkStart w:id="41" w:name="X5e49db76ecaeafa9b9d889c09415c26b437552f"/>
    <w:p>
      <w:pPr>
        <w:pStyle w:val="Heading3"/>
      </w:pPr>
      <w:r>
        <w:t>Honest read — and a strategic recommendation</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p>
      <w:r>
        <w:rPr>
          <w:b/>
          <w:color w:val="FFFFFF"/>
          <w:sz w:val="18"/>
          <w:shd w:val="clear" w:fill="1F1F1F"/>
        </w:rPr>
        <w:t>VISUAL REDACTED — COMMERCIAL FORECAST</w:t>
      </w:r>
    </w:p>
    <w:bookmarkEnd w:id="41"/>
    <w:bookmarkEnd w:id="42"/>
    <w:bookmarkEnd w:id="43"/>
    <w:bookmarkStart w:id="45" w:name="Xc1c748ea08764909a7a9846c403724b7cdaa436"/>
    <w:p>
      <w:pPr>
        <w:pStyle w:val="Heading1"/>
      </w:pPr>
      <w:r>
        <w:t>4. Objections, open questions, and what I would ask you tomorrow</w:t>
      </w:r>
    </w:p>
    <w:p>
      <w:pPr>
        <w:pStyle w:val="FirstParagraph"/>
      </w:pPr>
      <w:r>
        <w:t>Objections to our current plan, stated plainly:</w:t>
      </w:r>
    </w:p>
    <w:p>
      <w:pPr>
        <w:numPr>
          <w:ilvl w:val="0"/>
          <w:numId w:val="1007"/>
        </w:numPr>
        <w:pStyle w:val="Compact"/>
      </w:pPr>
      <w:r>
        <w:rPr>
          <w:b/>
          <w:color w:val="FFFFFF"/>
          <w:sz w:val="18"/>
          <w:shd w:val="clear" w:fill="1F1F1F"/>
        </w:rPr>
        <w:t>REDACTED — CONFIDENTIAL</w:t>
      </w:r>
    </w:p>
    <w:p>
      <w:pPr>
        <w:numPr>
          <w:ilvl w:val="0"/>
          <w:numId w:val="1007"/>
        </w:numPr>
        <w:pStyle w:val="Compact"/>
      </w:pPr>
      <w:r>
        <w:rPr>
          <w:b/>
          <w:color w:val="FFFFFF"/>
          <w:sz w:val="18"/>
          <w:shd w:val="clear" w:fill="1F1F1F"/>
        </w:rPr>
        <w:t>REDACTED — CONFIDENTIAL</w:t>
      </w:r>
    </w:p>
    <w:p>
      <w:pPr>
        <w:numPr>
          <w:ilvl w:val="0"/>
          <w:numId w:val="1007"/>
        </w:numPr>
        <w:pStyle w:val="Compact"/>
      </w:pPr>
      <w:r>
        <w:rPr>
          <w:b/>
          <w:color w:val="FFFFFF"/>
          <w:sz w:val="18"/>
          <w:shd w:val="clear" w:fill="1F1F1F"/>
        </w:rPr>
        <w:t>REDACTED — CONFIDENTIAL</w:t>
      </w:r>
    </w:p>
    <w:p>
      <w:pPr>
        <w:numPr>
          <w:ilvl w:val="0"/>
          <w:numId w:val="1007"/>
        </w:numPr>
        <w:pStyle w:val="Compact"/>
      </w:pPr>
      <w:r>
        <w:rPr>
          <w:b/>
          <w:color w:val="FFFFFF"/>
          <w:sz w:val="18"/>
          <w:shd w:val="clear" w:fill="1F1F1F"/>
        </w:rPr>
        <w:t>REDACTED — CONFIDENTIAL</w:t>
      </w:r>
    </w:p>
    <w:p>
      <w:pPr>
        <w:numPr>
          <w:ilvl w:val="0"/>
          <w:numId w:val="1007"/>
        </w:numPr>
        <w:pStyle w:val="Compact"/>
      </w:pPr>
      <w:r>
        <w:rPr>
          <w:b/>
          <w:color w:val="FFFFFF"/>
          <w:sz w:val="18"/>
          <w:shd w:val="clear" w:fill="1F1F1F"/>
        </w:rPr>
        <w:t>REDACTED — CONFIDENTIAL</w:t>
      </w:r>
    </w:p>
    <w:p>
      <w:pPr>
        <w:pStyle w:val="FirstParagraph"/>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pPr>
        <w:numPr>
          <w:ilvl w:val="0"/>
          <w:numId w:val="1008"/>
        </w:numPr>
        <w:pStyle w:val="Compact"/>
      </w:pPr>
      <w:r>
        <w:rPr>
          <w:b/>
          <w:color w:val="FFFFFF"/>
          <w:sz w:val="18"/>
          <w:shd w:val="clear" w:fill="1F1F1F"/>
        </w:rPr>
        <w:t>REDACTED — CONFIDENTIAL</w:t>
      </w:r>
    </w:p>
    <w:p>
      <w:r>
        <w:rPr>
          <w:b/>
          <w:color w:val="FFFFFF"/>
          <w:sz w:val="18"/>
          <w:shd w:val="clear" w:fill="1F1F1F"/>
        </w:rPr>
        <w:t>VISUAL REDACTED — COMMERCIAL FORECAST</w:t>
      </w:r>
    </w:p>
    <w:bookmarkStart w:id="44" w:name="sources"/>
    <w:p>
      <w:pPr>
        <w:pStyle w:val="Heading2"/>
      </w:pPr>
      <w:r>
        <w:t>Sources</w:t>
      </w:r>
    </w:p>
    <w:p>
      <w:pPr>
        <w:pStyle w:val="FirstParagraph"/>
      </w:pPr>
      <w:r>
        <w:rPr>
          <w:b/>
          <w:color w:val="FFFFFF"/>
          <w:sz w:val="18"/>
          <w:shd w:val="clear" w:fill="1F1F1F"/>
        </w:rPr>
        <w:t>REDACTED — CONFIDENTIAL</w:t>
      </w:r>
    </w:p>
    <w:p>
      <w:pPr>
        <w:pStyle w:val="BodyText"/>
      </w:pPr>
      <w:r>
        <w:rPr>
          <w:b/>
          <w:color w:val="FFFFFF"/>
          <w:sz w:val="18"/>
          <w:shd w:val="clear" w:fill="1F1F1F"/>
        </w:rPr>
        <w:t>REDACTED — CONFIDENTIAL</w:t>
      </w:r>
    </w:p>
    <w:p>
      <w:pPr>
        <w:pStyle w:val="BodyText"/>
      </w:pPr>
      <w:r>
        <w:rPr>
          <w:b/>
          <w:color w:val="FFFFFF"/>
          <w:sz w:val="18"/>
          <w:shd w:val="clear" w:fill="1F1F1F"/>
        </w:rPr>
        <w:t>REDACTED — CONFIDENTIAL</w:t>
      </w:r>
    </w:p>
    <w:bookmarkEnd w:id="44"/>
    <w:bookmarkEnd w:id="45"/>
    <w:sectPr>
      <w:headerReference w:type="default" r:id="rId9"/>
      <w:footerReference w:type="default" r:id="rId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before="0" w:line="276" w:lineRule="auto"/>
    </w:pPr>
    <w:rPr>
      <w:rFonts w:ascii="Calibri" w:cs="Calibri" w:hAnsi="Calibri"/>
      <w:sz w:val="21"/>
      <w:szCs w:val="21"/>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pPr>
    <w:rPr>
      <w:rFonts w:ascii="Calibri" w:cs="Calibri" w:hAnsi="Calibri"/>
      <w:b/>
      <w:bCs/>
      <w:color w:val="1B4332"/>
      <w:sz w:val="44"/>
      <w:szCs w:val="44"/>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40" w:before="420"/>
      <w:outlineLvl w:val="0"/>
    </w:pPr>
    <w:rPr>
      <w:rFonts w:ascii="Calibri" w:cs="Calibri" w:hAnsi="Calibri"/>
      <w:b/>
      <w:bCs/>
      <w:color w:val="1B4332"/>
      <w:sz w:val="30"/>
      <w:szCs w:val="30"/>
    </w:rPr>
  </w:style>
  <w:style w:styleId="Heading2" w:type="paragraph">
    <w:name w:val="Heading 2"/>
    <w:basedOn w:val="Normal"/>
    <w:next w:val="BodyText"/>
    <w:uiPriority w:val="9"/>
    <w:unhideWhenUsed/>
    <w:qFormat/>
    <w:pPr>
      <w:keepNext/>
      <w:keepLines/>
      <w:spacing w:after="120" w:before="340"/>
      <w:outlineLvl w:val="1"/>
    </w:pPr>
    <w:rPr>
      <w:rFonts w:ascii="Calibri" w:cs="Calibri" w:hAnsi="Calibri"/>
      <w:b/>
      <w:bCs/>
      <w:color w:val="1B4332"/>
      <w:sz w:val="25"/>
      <w:szCs w:val="25"/>
    </w:rPr>
  </w:style>
  <w:style w:styleId="Heading3" w:type="paragraph">
    <w:name w:val="Heading 3"/>
    <w:basedOn w:val="Normal"/>
    <w:next w:val="BodyText"/>
    <w:uiPriority w:val="9"/>
    <w:unhideWhenUsed/>
    <w:qFormat/>
    <w:pPr>
      <w:keepNext/>
      <w:keepLines/>
      <w:spacing w:after="100" w:before="260"/>
      <w:outlineLvl w:val="2"/>
    </w:pPr>
    <w:rPr>
      <w:rFonts w:ascii="Calibri" w:cs="Calibri" w:hAnsi="Calibri"/>
      <w:b/>
      <w:bCs/>
      <w:color w:val="2D6A4F"/>
      <w:sz w:val="22"/>
      <w:szCs w:val="22"/>
    </w:rPr>
  </w:style>
  <w:style w:styleId="Heading4" w:type="paragraph">
    <w:name w:val="Heading 4"/>
    <w:basedOn w:val="Normal"/>
    <w:next w:val="BodyText"/>
    <w:uiPriority w:val="9"/>
    <w:unhideWhenUsed/>
    <w:qFormat/>
    <w:pPr>
      <w:keepNext/>
      <w:keepLines/>
      <w:spacing w:after="80" w:before="220"/>
      <w:outlineLvl w:val="3"/>
    </w:pPr>
    <w:rPr>
      <w:rFonts w:ascii="Calibri" w:cs="Calibri" w:hAnsi="Calibri"/>
      <w:i/>
      <w:bCs/>
      <w:color w:val="2D6A4F"/>
      <w:sz w:val="21"/>
      <w:szCs w:val="21"/>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qFormat/>
    <w:pPr>
      <w:spacing w:after="40" w:before="40" w:line="240" w:lineRule="auto"/>
    </w:pPr>
    <w:rPr>
      <w:rFonts w:ascii="Calibri" w:cs="Calibri" w:hAnsi="Calibri"/>
      <w:sz w:val="19"/>
      <w:szCs w:val="19"/>
    </w:rPr>
    <w:tblPr>
      <w:tblInd w:type="dxa" w:w="0"/>
      <w:tblBorders>
        <w:top w:color="D9D9D9" w:space="0" w:sz="4" w:val="single"/>
        <w:left w:color="auto" w:space="0" w:sz="0" w:val="none"/>
        <w:bottom w:color="D9D9D9" w:space="0" w:sz="4" w:val="single"/>
        <w:right w:color="auto" w:space="0" w:sz="0" w:val="none"/>
        <w:insideH w:color="D9D9D9" w:space="0" w:sz="4" w:val="single"/>
        <w:insideV w:color="auto" w:space="0" w:sz="0" w:val="none"/>
      </w:tblBorders>
      <w:tblCellMar>
        <w:top w:type="dxa" w:w="60"/>
        <w:left w:type="dxa" w:w="108"/>
        <w:bottom w:type="dxa" w:w="60"/>
        <w:right w:type="dxa" w:w="108"/>
      </w:tblCellMar>
    </w:tblPr>
    <w:tblStylePr w:type="firstRow">
      <w:rPr>
        <w:b/>
        <w:color w:val="1B4332"/>
      </w:rPr>
      <w:tcPr>
        <w:shd w:color="auto" w:fill="EDF2EE" w:val="clear"/>
        <w:vAlign w:val="bottom"/>
        <w:tcBorders>
          <w:bottom w:color="1B4332" w:space="0" w:sz="8"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Tabs_Global_Strategy_Brief_REDACTED</dc:title>
  <dc:creator/>
  <cp:keywords/>
  <dcterms:created xsi:type="dcterms:W3CDTF">2026-09-01T04:05:54Z</dcterms:created>
  <dcterms:modified xsi:type="dcterms:W3CDTF">2026-09-01T04:05:54Z</dcterms:modified>
  <cp:lastModifiedBy/>
  <dc:description>Portfolio-safe redacted copy</dc:description>
  <dc:subject>Redacted work sample</dc:subject>
  <cp:category/>
</cp:coreProperties>
</file>